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35" w:rsidRPr="008E5E48" w:rsidRDefault="00E37A35" w:rsidP="00E37A35">
      <w:pPr>
        <w:spacing w:line="360" w:lineRule="auto"/>
        <w:rPr>
          <w:rFonts w:ascii="Cambria" w:eastAsia="Calibri" w:hAnsi="Cambria"/>
          <w:b/>
          <w:bCs/>
        </w:rPr>
      </w:pPr>
      <w:r w:rsidRPr="008E5E48">
        <w:rPr>
          <w:rFonts w:ascii="Cambria" w:eastAsia="Calibri" w:hAnsi="Cambria"/>
          <w:b/>
          <w:bCs/>
          <w:highlight w:val="lightGray"/>
        </w:rPr>
        <w:t>Review article:</w:t>
      </w:r>
    </w:p>
    <w:p w:rsidR="00E37A35" w:rsidRDefault="00E37A35" w:rsidP="00E37A35">
      <w:pPr>
        <w:spacing w:after="0" w:line="360" w:lineRule="auto"/>
        <w:rPr>
          <w:rFonts w:ascii="Cambria" w:eastAsia="Calibri" w:hAnsi="Cambria"/>
          <w:b/>
          <w:bCs/>
          <w:color w:val="1F497D"/>
          <w:sz w:val="20"/>
          <w:szCs w:val="20"/>
        </w:rPr>
      </w:pPr>
      <w:r w:rsidRPr="00E37A35">
        <w:rPr>
          <w:rFonts w:ascii="Cambria" w:eastAsia="Calibri" w:hAnsi="Cambria"/>
          <w:b/>
          <w:bCs/>
          <w:color w:val="1F497D"/>
          <w:sz w:val="20"/>
          <w:szCs w:val="20"/>
        </w:rPr>
        <w:t xml:space="preserve">Non-Cardiac implanted electronic device (IED) : Its implications and interactions </w:t>
      </w:r>
    </w:p>
    <w:p w:rsidR="00E37A35" w:rsidRPr="00E37A35" w:rsidRDefault="00E37A35" w:rsidP="00E37A35">
      <w:pPr>
        <w:spacing w:after="0" w:line="360" w:lineRule="auto"/>
        <w:rPr>
          <w:rFonts w:ascii="Cambria" w:eastAsia="Calibri" w:hAnsi="Cambria"/>
          <w:b/>
          <w:bCs/>
          <w:color w:val="1F497D"/>
          <w:sz w:val="20"/>
          <w:szCs w:val="20"/>
        </w:rPr>
      </w:pPr>
    </w:p>
    <w:p w:rsidR="00E37A35" w:rsidRDefault="00E37A35" w:rsidP="00E37A35">
      <w:pPr>
        <w:spacing w:after="0" w:line="360" w:lineRule="auto"/>
        <w:rPr>
          <w:rFonts w:ascii="Cambria" w:eastAsia="Calibri" w:hAnsi="Cambria"/>
          <w:b/>
          <w:bCs/>
          <w:sz w:val="20"/>
          <w:szCs w:val="20"/>
          <w:vertAlign w:val="superscript"/>
        </w:rPr>
      </w:pPr>
      <w:r w:rsidRPr="00E37A35">
        <w:rPr>
          <w:rFonts w:ascii="Cambria" w:eastAsia="Calibri" w:hAnsi="Cambria"/>
          <w:b/>
          <w:bCs/>
          <w:sz w:val="20"/>
          <w:szCs w:val="20"/>
        </w:rPr>
        <w:t xml:space="preserve"> *Dr Supreethi Kohli</w:t>
      </w:r>
      <w:r w:rsidRPr="00E37A35">
        <w:rPr>
          <w:rFonts w:ascii="Cambria" w:eastAsia="Calibri" w:hAnsi="Cambria"/>
          <w:b/>
          <w:bCs/>
          <w:sz w:val="20"/>
          <w:szCs w:val="20"/>
          <w:vertAlign w:val="superscript"/>
        </w:rPr>
        <w:t>1</w:t>
      </w:r>
      <w:r w:rsidRPr="00E37A35">
        <w:rPr>
          <w:rFonts w:ascii="Cambria" w:eastAsia="Calibri" w:hAnsi="Cambria"/>
          <w:b/>
          <w:sz w:val="20"/>
          <w:szCs w:val="20"/>
        </w:rPr>
        <w:t>, Dr Susmita Oomman</w:t>
      </w:r>
      <w:r w:rsidRPr="00E37A35">
        <w:rPr>
          <w:rFonts w:ascii="Cambria" w:eastAsia="Calibri" w:hAnsi="Cambria"/>
          <w:b/>
          <w:sz w:val="20"/>
          <w:szCs w:val="20"/>
          <w:vertAlign w:val="superscript"/>
        </w:rPr>
        <w:t>2</w:t>
      </w:r>
      <w:r w:rsidRPr="00E37A35">
        <w:rPr>
          <w:rFonts w:ascii="Cambria" w:eastAsia="Calibri" w:hAnsi="Cambria"/>
          <w:b/>
          <w:bCs/>
          <w:sz w:val="20"/>
          <w:szCs w:val="20"/>
        </w:rPr>
        <w:t xml:space="preserve"> , Dr Anokha Oomman</w:t>
      </w:r>
      <w:r w:rsidRPr="00E37A35">
        <w:rPr>
          <w:rFonts w:ascii="Cambria" w:eastAsia="Calibri" w:hAnsi="Cambria"/>
          <w:b/>
          <w:bCs/>
          <w:sz w:val="20"/>
          <w:szCs w:val="20"/>
          <w:vertAlign w:val="superscript"/>
        </w:rPr>
        <w:t>3</w:t>
      </w:r>
    </w:p>
    <w:p w:rsidR="00E37A35" w:rsidRPr="00E37A35" w:rsidRDefault="00E37A35" w:rsidP="00E37A35">
      <w:pPr>
        <w:spacing w:after="0" w:line="360" w:lineRule="auto"/>
        <w:rPr>
          <w:rFonts w:ascii="Cambria" w:eastAsia="Calibri" w:hAnsi="Cambria"/>
          <w:b/>
          <w:bCs/>
          <w:sz w:val="20"/>
          <w:szCs w:val="20"/>
          <w:vertAlign w:val="superscript"/>
        </w:rPr>
      </w:pPr>
    </w:p>
    <w:p w:rsidR="00E37A35" w:rsidRPr="00E37A35" w:rsidRDefault="00E37A35" w:rsidP="00E37A35">
      <w:pPr>
        <w:spacing w:after="0" w:line="360" w:lineRule="auto"/>
        <w:rPr>
          <w:rFonts w:ascii="Cambria" w:eastAsia="Calibri" w:hAnsi="Cambria"/>
          <w:sz w:val="20"/>
          <w:szCs w:val="20"/>
        </w:rPr>
      </w:pPr>
      <w:r w:rsidRPr="00E37A35">
        <w:rPr>
          <w:rFonts w:ascii="Cambria" w:eastAsia="Calibri" w:hAnsi="Cambria"/>
          <w:bCs/>
          <w:sz w:val="20"/>
          <w:szCs w:val="20"/>
          <w:vertAlign w:val="superscript"/>
        </w:rPr>
        <w:t>1</w:t>
      </w:r>
      <w:r w:rsidRPr="00E37A35">
        <w:rPr>
          <w:rFonts w:ascii="Cambria" w:eastAsia="Calibri" w:hAnsi="Cambria"/>
          <w:bCs/>
          <w:sz w:val="20"/>
          <w:szCs w:val="20"/>
        </w:rPr>
        <w:t xml:space="preserve">Radiology Consultant, </w:t>
      </w:r>
      <w:r w:rsidRPr="00E37A35">
        <w:rPr>
          <w:rFonts w:ascii="Cambria" w:eastAsia="Calibri" w:hAnsi="Cambria"/>
          <w:sz w:val="20"/>
          <w:szCs w:val="20"/>
        </w:rPr>
        <w:t>PGIMSR &amp; E.S.I. Hospital, Basaidarapur, New Delhi, India</w:t>
      </w:r>
    </w:p>
    <w:p w:rsidR="00E37A35" w:rsidRPr="00E37A35" w:rsidRDefault="00E37A35" w:rsidP="00E37A35">
      <w:pPr>
        <w:spacing w:after="0" w:line="360" w:lineRule="auto"/>
        <w:rPr>
          <w:rFonts w:ascii="Cambria" w:eastAsia="Calibri" w:hAnsi="Cambria"/>
          <w:bCs/>
          <w:sz w:val="20"/>
          <w:szCs w:val="20"/>
          <w:vertAlign w:val="superscript"/>
        </w:rPr>
      </w:pPr>
      <w:r w:rsidRPr="00E37A35">
        <w:rPr>
          <w:rFonts w:ascii="Cambria" w:eastAsia="Calibri" w:hAnsi="Cambria"/>
          <w:sz w:val="20"/>
          <w:szCs w:val="20"/>
        </w:rPr>
        <w:t xml:space="preserve"> </w:t>
      </w:r>
      <w:r w:rsidRPr="00E37A35">
        <w:rPr>
          <w:rFonts w:ascii="Cambria" w:eastAsia="Calibri" w:hAnsi="Cambria"/>
          <w:bCs/>
          <w:sz w:val="20"/>
          <w:szCs w:val="20"/>
          <w:vertAlign w:val="superscript"/>
        </w:rPr>
        <w:t>2</w:t>
      </w:r>
      <w:r w:rsidRPr="00E37A35">
        <w:rPr>
          <w:rFonts w:ascii="Cambria" w:eastAsia="Calibri" w:hAnsi="Cambria"/>
          <w:sz w:val="20"/>
          <w:szCs w:val="20"/>
        </w:rPr>
        <w:t>Anaesthetic Consultant, Withybush General Hospital, Wales, UK</w:t>
      </w:r>
    </w:p>
    <w:p w:rsidR="00E37A35" w:rsidRPr="00E37A35" w:rsidRDefault="00E37A35" w:rsidP="00E37A35">
      <w:pPr>
        <w:pBdr>
          <w:bottom w:val="single" w:sz="6" w:space="1" w:color="auto"/>
        </w:pBdr>
        <w:spacing w:after="0" w:line="360" w:lineRule="auto"/>
        <w:rPr>
          <w:rFonts w:ascii="Cambria" w:eastAsia="Calibri" w:hAnsi="Cambria"/>
          <w:sz w:val="20"/>
          <w:szCs w:val="20"/>
          <w:lang w:val="en-IN"/>
        </w:rPr>
      </w:pPr>
      <w:r w:rsidRPr="00E37A35">
        <w:rPr>
          <w:rFonts w:ascii="Cambria" w:eastAsia="Calibri" w:hAnsi="Cambria"/>
          <w:bCs/>
          <w:sz w:val="20"/>
          <w:szCs w:val="20"/>
          <w:vertAlign w:val="superscript"/>
        </w:rPr>
        <w:t>3</w:t>
      </w:r>
      <w:r w:rsidRPr="00E37A35">
        <w:rPr>
          <w:rFonts w:ascii="Cambria" w:eastAsia="Calibri" w:hAnsi="Cambria"/>
          <w:bCs/>
          <w:sz w:val="20"/>
          <w:szCs w:val="20"/>
        </w:rPr>
        <w:t>Core Trainee, Morriston Hospital Swansea,</w:t>
      </w:r>
      <w:r w:rsidRPr="00E37A35">
        <w:rPr>
          <w:rFonts w:ascii="Cambria" w:eastAsia="Calibri" w:hAnsi="Cambria"/>
          <w:sz w:val="20"/>
          <w:szCs w:val="20"/>
          <w:lang w:val="en-IN"/>
        </w:rPr>
        <w:t>Wales,UK</w:t>
      </w:r>
      <w:r w:rsidRPr="00E37A35">
        <w:rPr>
          <w:rFonts w:ascii="Cambria" w:eastAsia="Calibri" w:hAnsi="Cambria"/>
          <w:sz w:val="20"/>
          <w:szCs w:val="20"/>
          <w:lang w:val="en-IN"/>
        </w:rPr>
        <w:br/>
        <w:t>*Corresponding author : Dr Supreethi Kohli</w:t>
      </w:r>
    </w:p>
    <w:p w:rsidR="00E37A35" w:rsidRDefault="00E37A35" w:rsidP="00E37A35">
      <w:pPr>
        <w:spacing w:line="360" w:lineRule="auto"/>
        <w:rPr>
          <w:rFonts w:ascii="Cambria" w:eastAsia="Calibri" w:hAnsi="Cambria"/>
          <w:sz w:val="20"/>
          <w:szCs w:val="20"/>
          <w:lang w:val="en-IN"/>
        </w:rPr>
      </w:pPr>
    </w:p>
    <w:p w:rsidR="00E37A35" w:rsidRDefault="00E37A35" w:rsidP="00E37A35">
      <w:pPr>
        <w:spacing w:after="0" w:line="360" w:lineRule="auto"/>
        <w:rPr>
          <w:rFonts w:ascii="Times New Roman" w:eastAsia="Calibri" w:hAnsi="Times New Roman" w:cs="Times New Roman"/>
          <w:bCs/>
          <w:sz w:val="18"/>
          <w:szCs w:val="18"/>
          <w:vertAlign w:val="superscript"/>
        </w:rPr>
      </w:pPr>
      <w:r w:rsidRPr="00E37A35">
        <w:rPr>
          <w:rFonts w:ascii="Times New Roman" w:hAnsi="Times New Roman" w:cs="Times New Roman"/>
          <w:sz w:val="18"/>
          <w:szCs w:val="18"/>
        </w:rPr>
        <w:t>ABSTRACT</w:t>
      </w:r>
    </w:p>
    <w:p w:rsidR="00E37A35" w:rsidRPr="00E37A35" w:rsidRDefault="00E37A35" w:rsidP="00E37A35">
      <w:pPr>
        <w:spacing w:after="0" w:line="360" w:lineRule="auto"/>
        <w:jc w:val="both"/>
        <w:rPr>
          <w:rFonts w:ascii="Times New Roman" w:eastAsia="Calibri" w:hAnsi="Times New Roman" w:cs="Times New Roman"/>
          <w:bCs/>
          <w:sz w:val="18"/>
          <w:szCs w:val="18"/>
          <w:vertAlign w:val="superscript"/>
        </w:rPr>
      </w:pPr>
      <w:r w:rsidRPr="00E37A35">
        <w:rPr>
          <w:rFonts w:ascii="Times New Roman" w:hAnsi="Times New Roman" w:cs="Times New Roman"/>
          <w:sz w:val="18"/>
          <w:szCs w:val="18"/>
        </w:rPr>
        <w:t>Advanced technology and varied indications have increased the number of patients with non-cardiac implanted electronic device in situ. There is limited knowledge about the effect of these devices when these patients use another electronic device .These electronic devices often interact with other electronic devices, machinery causing alarm and discomfort to the patient</w:t>
      </w:r>
      <w:r w:rsidRPr="00E37A35">
        <w:rPr>
          <w:rFonts w:ascii="Times New Roman" w:eastAsia="Calibri" w:hAnsi="Times New Roman" w:cs="Times New Roman"/>
          <w:sz w:val="18"/>
          <w:szCs w:val="18"/>
          <w:lang w:val="en-IN"/>
        </w:rPr>
        <w:t xml:space="preserve"> </w:t>
      </w:r>
      <w:r w:rsidRPr="00E37A35">
        <w:rPr>
          <w:rFonts w:ascii="Times New Roman" w:hAnsi="Times New Roman" w:cs="Times New Roman"/>
          <w:sz w:val="18"/>
          <w:szCs w:val="18"/>
          <w:lang w:val="en-IN"/>
        </w:rPr>
        <w:t>. Patients with implanted electrical devices (IEDs) are vulnerable to electromagnetic interference (EMI) from electrical equipment used in the patients. As growing popularity for non-cardiac IEDs increase, so too does the likelihood of encountering these interactions.</w:t>
      </w:r>
      <w:r w:rsidRPr="00E37A35">
        <w:rPr>
          <w:rFonts w:ascii="Times New Roman" w:eastAsia="Calibri" w:hAnsi="Times New Roman" w:cs="Times New Roman"/>
          <w:bCs/>
          <w:sz w:val="18"/>
          <w:szCs w:val="18"/>
          <w:vertAlign w:val="superscript"/>
        </w:rPr>
        <w:t xml:space="preserve"> </w:t>
      </w:r>
      <w:r w:rsidRPr="00E37A35">
        <w:rPr>
          <w:rFonts w:ascii="Times New Roman" w:hAnsi="Times New Roman" w:cs="Times New Roman"/>
          <w:sz w:val="18"/>
          <w:szCs w:val="18"/>
        </w:rPr>
        <w:t>This article aims to seek existing literature on the subject mainly the implication and interactions of an IED in situ.</w:t>
      </w:r>
    </w:p>
    <w:p w:rsidR="00E37A35" w:rsidRPr="00E37A35" w:rsidRDefault="00E37A35" w:rsidP="00E37A35">
      <w:pPr>
        <w:pBdr>
          <w:bottom w:val="single" w:sz="6" w:space="1" w:color="auto"/>
        </w:pBdr>
        <w:spacing w:after="0" w:line="360" w:lineRule="auto"/>
        <w:ind w:right="567"/>
        <w:jc w:val="both"/>
        <w:rPr>
          <w:rFonts w:ascii="Times New Roman" w:hAnsi="Times New Roman" w:cs="Times New Roman"/>
          <w:sz w:val="18"/>
          <w:szCs w:val="18"/>
          <w:lang w:val="en-IN"/>
        </w:rPr>
      </w:pPr>
      <w:r w:rsidRPr="00E37A35">
        <w:rPr>
          <w:rFonts w:ascii="Times New Roman" w:hAnsi="Times New Roman" w:cs="Times New Roman"/>
          <w:bCs/>
          <w:sz w:val="18"/>
          <w:szCs w:val="18"/>
        </w:rPr>
        <w:t>KEY WORDS : Non-cardiac</w:t>
      </w:r>
      <w:r w:rsidRPr="00E37A35">
        <w:rPr>
          <w:rFonts w:ascii="Times New Roman" w:hAnsi="Times New Roman" w:cs="Times New Roman"/>
          <w:sz w:val="18"/>
          <w:szCs w:val="18"/>
          <w:lang w:val="en-IN"/>
        </w:rPr>
        <w:t xml:space="preserve"> IED </w:t>
      </w:r>
    </w:p>
    <w:p w:rsidR="00CF464F" w:rsidRPr="00E37A35" w:rsidRDefault="00CF464F" w:rsidP="00E37A35">
      <w:pPr>
        <w:spacing w:after="0" w:line="360" w:lineRule="auto"/>
        <w:jc w:val="both"/>
      </w:pPr>
    </w:p>
    <w:sectPr w:rsidR="00CF464F" w:rsidRPr="00E37A35"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19D" w:rsidRDefault="00E8019D" w:rsidP="005446C1">
      <w:pPr>
        <w:spacing w:after="0" w:line="240" w:lineRule="auto"/>
      </w:pPr>
      <w:r>
        <w:separator/>
      </w:r>
    </w:p>
  </w:endnote>
  <w:endnote w:type="continuationSeparator" w:id="1">
    <w:p w:rsidR="00E8019D" w:rsidRDefault="00E8019D" w:rsidP="00544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19D" w:rsidRDefault="00E8019D" w:rsidP="005446C1">
      <w:pPr>
        <w:spacing w:after="0" w:line="240" w:lineRule="auto"/>
      </w:pPr>
      <w:r>
        <w:separator/>
      </w:r>
    </w:p>
  </w:footnote>
  <w:footnote w:type="continuationSeparator" w:id="1">
    <w:p w:rsidR="00E8019D" w:rsidRDefault="00E8019D" w:rsidP="005446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A35" w:rsidRPr="00E37A35" w:rsidRDefault="00E37A35" w:rsidP="00E37A35">
    <w:pPr>
      <w:pStyle w:val="Header"/>
      <w:jc w:val="center"/>
      <w:rPr>
        <w:rFonts w:ascii="Times New Roman" w:hAnsi="Times New Roman" w:cs="Times New Roman"/>
        <w:sz w:val="20"/>
      </w:rPr>
    </w:pPr>
    <w:r w:rsidRPr="00E37A35">
      <w:rPr>
        <w:rFonts w:ascii="Times New Roman" w:hAnsi="Times New Roman" w:cs="Times New Roman"/>
        <w:sz w:val="20"/>
      </w:rPr>
      <w:t>Indian Journal of Basic and Applied Medical Research; March 2014: Vol.-3, Issue- 2, P.571-577</w:t>
    </w:r>
  </w:p>
  <w:p w:rsidR="005446C1" w:rsidRPr="00E37A35" w:rsidRDefault="005446C1" w:rsidP="00E37A35">
    <w:pPr>
      <w:pStyle w:val="Head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3074"/>
  </w:hdrShapeDefaults>
  <w:footnotePr>
    <w:footnote w:id="0"/>
    <w:footnote w:id="1"/>
  </w:footnotePr>
  <w:endnotePr>
    <w:endnote w:id="0"/>
    <w:endnote w:id="1"/>
  </w:endnotePr>
  <w:compat/>
  <w:rsids>
    <w:rsidRoot w:val="005446C1"/>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446"/>
    <w:rsid w:val="000076BC"/>
    <w:rsid w:val="00007B21"/>
    <w:rsid w:val="00007BCA"/>
    <w:rsid w:val="000103B2"/>
    <w:rsid w:val="00010864"/>
    <w:rsid w:val="0001099C"/>
    <w:rsid w:val="00011191"/>
    <w:rsid w:val="000111EC"/>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37DE3"/>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7874"/>
    <w:rsid w:val="00087B45"/>
    <w:rsid w:val="00087DB5"/>
    <w:rsid w:val="000912DC"/>
    <w:rsid w:val="000917C7"/>
    <w:rsid w:val="00091DAB"/>
    <w:rsid w:val="00092AD3"/>
    <w:rsid w:val="0009397E"/>
    <w:rsid w:val="000951D9"/>
    <w:rsid w:val="000959AA"/>
    <w:rsid w:val="000961D1"/>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4CC"/>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D85"/>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5B3D"/>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2C7"/>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BCF"/>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592"/>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0989"/>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470"/>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8CD"/>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B7F"/>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171"/>
    <w:rsid w:val="003B3ABF"/>
    <w:rsid w:val="003B3C41"/>
    <w:rsid w:val="003B4899"/>
    <w:rsid w:val="003B4E6F"/>
    <w:rsid w:val="003B6014"/>
    <w:rsid w:val="003B6C82"/>
    <w:rsid w:val="003B6FBB"/>
    <w:rsid w:val="003B70BE"/>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C7C52"/>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897"/>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508"/>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9AA"/>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3A4"/>
    <w:rsid w:val="004D65E3"/>
    <w:rsid w:val="004D6C1E"/>
    <w:rsid w:val="004D72FB"/>
    <w:rsid w:val="004D793E"/>
    <w:rsid w:val="004E0C55"/>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1F7C"/>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3119"/>
    <w:rsid w:val="005435B9"/>
    <w:rsid w:val="005435FA"/>
    <w:rsid w:val="00543984"/>
    <w:rsid w:val="00543CA8"/>
    <w:rsid w:val="00543F12"/>
    <w:rsid w:val="005446C1"/>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A8"/>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6B7C"/>
    <w:rsid w:val="00586DE2"/>
    <w:rsid w:val="0058729C"/>
    <w:rsid w:val="00587D4B"/>
    <w:rsid w:val="00590163"/>
    <w:rsid w:val="00591131"/>
    <w:rsid w:val="00592160"/>
    <w:rsid w:val="005926DB"/>
    <w:rsid w:val="005926F5"/>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994"/>
    <w:rsid w:val="00631A4D"/>
    <w:rsid w:val="00631AE1"/>
    <w:rsid w:val="00631B9E"/>
    <w:rsid w:val="00631CCA"/>
    <w:rsid w:val="0063268C"/>
    <w:rsid w:val="00632AAE"/>
    <w:rsid w:val="0063347C"/>
    <w:rsid w:val="00633886"/>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486"/>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3FAB"/>
    <w:rsid w:val="006D5580"/>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666"/>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63"/>
    <w:rsid w:val="00761AB2"/>
    <w:rsid w:val="00761BFA"/>
    <w:rsid w:val="007621D8"/>
    <w:rsid w:val="007625D9"/>
    <w:rsid w:val="00762A9A"/>
    <w:rsid w:val="00762C84"/>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195"/>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3D39"/>
    <w:rsid w:val="007E44B8"/>
    <w:rsid w:val="007E4B59"/>
    <w:rsid w:val="007E4BDE"/>
    <w:rsid w:val="007E560E"/>
    <w:rsid w:val="007E58EA"/>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EB6"/>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6C2"/>
    <w:rsid w:val="00843CDF"/>
    <w:rsid w:val="00844E42"/>
    <w:rsid w:val="00844E9A"/>
    <w:rsid w:val="00844FC9"/>
    <w:rsid w:val="00845DC4"/>
    <w:rsid w:val="00846997"/>
    <w:rsid w:val="00846EDF"/>
    <w:rsid w:val="0084715B"/>
    <w:rsid w:val="008472AC"/>
    <w:rsid w:val="00847334"/>
    <w:rsid w:val="00850C4F"/>
    <w:rsid w:val="00850CD2"/>
    <w:rsid w:val="00850FE4"/>
    <w:rsid w:val="008513A4"/>
    <w:rsid w:val="008516D4"/>
    <w:rsid w:val="00851EA9"/>
    <w:rsid w:val="00852EA2"/>
    <w:rsid w:val="00853542"/>
    <w:rsid w:val="00853AB2"/>
    <w:rsid w:val="0085434E"/>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9C0"/>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491"/>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0795"/>
    <w:rsid w:val="008E119A"/>
    <w:rsid w:val="008E1E00"/>
    <w:rsid w:val="008E2F0B"/>
    <w:rsid w:val="008E3883"/>
    <w:rsid w:val="008E4CED"/>
    <w:rsid w:val="008E4D44"/>
    <w:rsid w:val="008E4FDD"/>
    <w:rsid w:val="008E5AA9"/>
    <w:rsid w:val="008E5C3E"/>
    <w:rsid w:val="008E6B5B"/>
    <w:rsid w:val="008E6F48"/>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36A"/>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508"/>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2F5"/>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64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F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D4"/>
    <w:rsid w:val="00AA44A3"/>
    <w:rsid w:val="00AA4754"/>
    <w:rsid w:val="00AA4CE3"/>
    <w:rsid w:val="00AA55E8"/>
    <w:rsid w:val="00AA5CEE"/>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819"/>
    <w:rsid w:val="00B36D31"/>
    <w:rsid w:val="00B371FA"/>
    <w:rsid w:val="00B37308"/>
    <w:rsid w:val="00B3787C"/>
    <w:rsid w:val="00B405E8"/>
    <w:rsid w:val="00B41349"/>
    <w:rsid w:val="00B413A3"/>
    <w:rsid w:val="00B41D9F"/>
    <w:rsid w:val="00B41EBB"/>
    <w:rsid w:val="00B420A4"/>
    <w:rsid w:val="00B42163"/>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2D91"/>
    <w:rsid w:val="00BC359C"/>
    <w:rsid w:val="00BC398E"/>
    <w:rsid w:val="00BC3A5C"/>
    <w:rsid w:val="00BC3C16"/>
    <w:rsid w:val="00BC41BF"/>
    <w:rsid w:val="00BC4357"/>
    <w:rsid w:val="00BC4400"/>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0DC0"/>
    <w:rsid w:val="00BE1AEC"/>
    <w:rsid w:val="00BE1F43"/>
    <w:rsid w:val="00BE2296"/>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440"/>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6A9E"/>
    <w:rsid w:val="00C971FA"/>
    <w:rsid w:val="00C97423"/>
    <w:rsid w:val="00C97915"/>
    <w:rsid w:val="00CA04B1"/>
    <w:rsid w:val="00CA06BF"/>
    <w:rsid w:val="00CA0754"/>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17B"/>
    <w:rsid w:val="00CB54A7"/>
    <w:rsid w:val="00CB5666"/>
    <w:rsid w:val="00CB60FD"/>
    <w:rsid w:val="00CB65D4"/>
    <w:rsid w:val="00CB780A"/>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801"/>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9A1"/>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87DED"/>
    <w:rsid w:val="00D914F6"/>
    <w:rsid w:val="00D91B97"/>
    <w:rsid w:val="00D91CBF"/>
    <w:rsid w:val="00D91F02"/>
    <w:rsid w:val="00D91F47"/>
    <w:rsid w:val="00D92609"/>
    <w:rsid w:val="00D92EC1"/>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4EEB"/>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3077"/>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379D4"/>
    <w:rsid w:val="00E37A35"/>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0D26"/>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56DB"/>
    <w:rsid w:val="00E762AB"/>
    <w:rsid w:val="00E76969"/>
    <w:rsid w:val="00E76DB7"/>
    <w:rsid w:val="00E77A65"/>
    <w:rsid w:val="00E8019D"/>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0E"/>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144"/>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2A2"/>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6C1"/>
    <w:rPr>
      <w:rFonts w:ascii="Calibri" w:eastAsia="Times New Roman" w:hAnsi="Calibri" w:cs="Shruti"/>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6C1"/>
    <w:pPr>
      <w:tabs>
        <w:tab w:val="center" w:pos="4680"/>
        <w:tab w:val="right" w:pos="9360"/>
      </w:tabs>
      <w:spacing w:after="0" w:line="240" w:lineRule="auto"/>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5446C1"/>
  </w:style>
  <w:style w:type="paragraph" w:styleId="Footer">
    <w:name w:val="footer"/>
    <w:basedOn w:val="Normal"/>
    <w:link w:val="FooterChar"/>
    <w:uiPriority w:val="99"/>
    <w:semiHidden/>
    <w:unhideWhenUsed/>
    <w:rsid w:val="005446C1"/>
    <w:pPr>
      <w:tabs>
        <w:tab w:val="center" w:pos="4680"/>
        <w:tab w:val="right" w:pos="9360"/>
      </w:tabs>
      <w:spacing w:after="0" w:line="240" w:lineRule="auto"/>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semiHidden/>
    <w:rsid w:val="005446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2014-03-06T14:26:00Z</dcterms:created>
  <dcterms:modified xsi:type="dcterms:W3CDTF">2014-03-06T14:26:00Z</dcterms:modified>
</cp:coreProperties>
</file>